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70524">
      <w:pPr>
        <w:jc w:val="center"/>
        <w:rPr>
          <w:rFonts w:hint="eastAsia"/>
          <w:b/>
          <w:bCs/>
          <w:sz w:val="32"/>
          <w:szCs w:val="32"/>
          <w:lang w:val="en-US" w:eastAsia="zh-CN"/>
        </w:rPr>
      </w:pPr>
      <w:r>
        <w:rPr>
          <w:rFonts w:hint="eastAsia"/>
          <w:b/>
          <w:bCs/>
          <w:sz w:val="32"/>
          <w:szCs w:val="32"/>
          <w:lang w:val="en-US" w:eastAsia="zh-CN"/>
        </w:rPr>
        <w:t>贵州食品工程职业学院中央空调维修项目</w:t>
      </w:r>
    </w:p>
    <w:p w14:paraId="28BF25D1">
      <w:pPr>
        <w:jc w:val="center"/>
        <w:rPr>
          <w:rFonts w:hint="default"/>
          <w:lang w:val="en-US" w:eastAsia="zh-CN"/>
        </w:rPr>
      </w:pPr>
    </w:p>
    <w:p w14:paraId="48C725DD">
      <w:pPr>
        <w:numPr>
          <w:ilvl w:val="0"/>
          <w:numId w:val="1"/>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项目概述</w:t>
      </w:r>
    </w:p>
    <w:p w14:paraId="10BB0D06">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项目地址位于贵阳市清镇市职教城桃林路1号，学院行政楼部分中央空调出现损坏，需要进行中央空调的维修。现招标具备资质的厂家或供应商为我校提供维修服务，特向市场询价招标。</w:t>
      </w:r>
    </w:p>
    <w:p w14:paraId="1346BC11">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项目维修内容</w:t>
      </w:r>
    </w:p>
    <w:p w14:paraId="36A27266">
      <w:pPr>
        <w:numPr>
          <w:ilvl w:val="0"/>
          <w:numId w:val="2"/>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室内机电源基板维修更换。</w:t>
      </w:r>
    </w:p>
    <w:p w14:paraId="46D5DEE6">
      <w:pPr>
        <w:numPr>
          <w:ilvl w:val="0"/>
          <w:numId w:val="2"/>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室外机滤波基板维修更换。</w:t>
      </w:r>
    </w:p>
    <w:p w14:paraId="0FBB79B1">
      <w:pPr>
        <w:numPr>
          <w:ilvl w:val="0"/>
          <w:numId w:val="2"/>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室外机电抗器维修更换。</w:t>
      </w:r>
    </w:p>
    <w:p w14:paraId="39486C2A">
      <w:pPr>
        <w:numPr>
          <w:ilvl w:val="0"/>
          <w:numId w:val="2"/>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检测调试内外机性能及调整机器线路。</w:t>
      </w:r>
    </w:p>
    <w:p w14:paraId="7E3A86F7">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项目承接要求</w:t>
      </w:r>
    </w:p>
    <w:p w14:paraId="70D676AE">
      <w:pPr>
        <w:numPr>
          <w:ilvl w:val="0"/>
          <w:numId w:val="3"/>
        </w:numPr>
        <w:ind w:left="0" w:leftChars="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具有独立法人资格、能够独立承担民事责任能力的生产厂家、代理商或经销商；</w:t>
      </w:r>
    </w:p>
    <w:p w14:paraId="06E9AE90">
      <w:pPr>
        <w:numPr>
          <w:ilvl w:val="0"/>
          <w:numId w:val="3"/>
        </w:numPr>
        <w:ind w:left="0" w:leftChars="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具有依法缴纳税收和社会保障资金的良好记录：</w:t>
      </w:r>
    </w:p>
    <w:p w14:paraId="50AA1DF8">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提供2024年任意三个月缴纳税收的凭据或证明材料（依法免税的，提供有效的证明文件）；提供2024年任意三个月社会保障资金缴纳证明材料（不需要缴纳社保资金的，提供有效的证明文件）</w:t>
      </w:r>
    </w:p>
    <w:p w14:paraId="2882BE74">
      <w:pPr>
        <w:numPr>
          <w:ilvl w:val="0"/>
          <w:numId w:val="3"/>
        </w:numPr>
        <w:ind w:left="0" w:leftChars="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加本次政府采购活动前三年内，在经营活动中没有违法违规记录：提供参加政府采购活动前三年内未因违法经营受到刑事处罚或者责令停产停业、吊销许可证或者执照、较大数额罚款等行政处罚的书面声明（自行声明）。</w:t>
      </w:r>
    </w:p>
    <w:p w14:paraId="3C4E90A4">
      <w:pPr>
        <w:numPr>
          <w:ilvl w:val="0"/>
          <w:numId w:val="3"/>
        </w:numPr>
        <w:ind w:left="0" w:leftChars="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所提供配件需出示原厂购买凭证（自拟承诺函，施工过程中提供）。</w:t>
      </w:r>
    </w:p>
    <w:p w14:paraId="2562F1B0">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招标金额</w:t>
      </w:r>
    </w:p>
    <w:p w14:paraId="1EFDE93E">
      <w:pPr>
        <w:numPr>
          <w:numId w:val="0"/>
        </w:numPr>
        <w:ind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本项目的招标预算金额为</w:t>
      </w:r>
      <w:r>
        <w:rPr>
          <w:rFonts w:hint="eastAsia" w:ascii="仿宋_GB2312" w:hAnsi="仿宋_GB2312" w:eastAsia="仿宋_GB2312" w:cs="仿宋_GB2312"/>
          <w:b/>
          <w:bCs/>
          <w:sz w:val="30"/>
          <w:szCs w:val="30"/>
          <w:lang w:val="en-US" w:eastAsia="zh-CN"/>
        </w:rPr>
        <w:t>人民币（大写）壹拾万元</w:t>
      </w:r>
      <w:r>
        <w:rPr>
          <w:rFonts w:hint="eastAsia" w:ascii="仿宋_GB2312" w:hAnsi="仿宋_GB2312" w:eastAsia="仿宋_GB2312" w:cs="仿宋_GB2312"/>
          <w:sz w:val="30"/>
          <w:szCs w:val="30"/>
          <w:lang w:val="en-US" w:eastAsia="zh-CN"/>
        </w:rPr>
        <w:t>（包含人工及材料费用）。</w:t>
      </w:r>
    </w:p>
    <w:p w14:paraId="1759DBAE">
      <w:pPr>
        <w:numPr>
          <w:ilvl w:val="0"/>
          <w:numId w:val="0"/>
        </w:numPr>
        <w:ind w:leftChars="0" w:firstLine="600" w:firstLineChars="200"/>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我方对符合以上要求并诚意洽谈的供应商将会以“择优录取”的方式进行评分比选。</w:t>
      </w:r>
    </w:p>
    <w:p w14:paraId="0E7B96B0">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维修时间及地点</w:t>
      </w:r>
    </w:p>
    <w:p w14:paraId="622E3E8A">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1、维修时间：维修时间为 15个工作日。服务期内供应商未能按约定履行服务义务，校方有权扣减服务费或终止服务协议/合同。</w:t>
      </w:r>
    </w:p>
    <w:p w14:paraId="70B8489B">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2、维修地点：指定地点</w:t>
      </w:r>
    </w:p>
    <w:p w14:paraId="23E00F5D">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质保期：项目完成后1年。</w:t>
      </w:r>
    </w:p>
    <w:p w14:paraId="3BD769AE">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验收标准、规范及方式</w:t>
      </w:r>
    </w:p>
    <w:p w14:paraId="2773CF40">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1、验收标准：本项目执行国家相关规范、标准</w:t>
      </w:r>
    </w:p>
    <w:p w14:paraId="412C3B6A">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2、验收规范：满足采购文件要求</w:t>
      </w:r>
    </w:p>
    <w:p w14:paraId="0D41425A">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验收方式：采取配件到场预验收，施工完成验收成果的方式</w:t>
      </w:r>
    </w:p>
    <w:p w14:paraId="4E115153">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验收</w:t>
      </w:r>
    </w:p>
    <w:p w14:paraId="7B16124A">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1.验收时双方按采购文件及合同提供的技术参数及服务要求逐项验收。</w:t>
      </w:r>
    </w:p>
    <w:p w14:paraId="24E245A5">
      <w:pPr>
        <w:numPr>
          <w:numId w:val="0"/>
        </w:numPr>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2.若在验收时对产品质量出现争议时请相关部门进行鉴定，费用由供应商承担。</w:t>
      </w:r>
    </w:p>
    <w:p w14:paraId="15DFF36B">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付款方式</w:t>
      </w:r>
    </w:p>
    <w:p w14:paraId="6AE10A21">
      <w:pPr>
        <w:numPr>
          <w:numId w:val="0"/>
        </w:numPr>
        <w:ind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合同签订，完成项目施工验收后支付95%，质保期结束后支付剩余5%。</w:t>
      </w:r>
      <w:bookmarkStart w:id="0" w:name="_GoBack"/>
      <w:bookmarkEnd w:id="0"/>
    </w:p>
    <w:p w14:paraId="015AA563">
      <w:pPr>
        <w:numPr>
          <w:ilvl w:val="0"/>
          <w:numId w:val="1"/>
        </w:numPr>
        <w:ind w:left="0" w:leftChars="0"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其他要求</w:t>
      </w:r>
    </w:p>
    <w:p w14:paraId="6CCB00DE">
      <w:pPr>
        <w:numPr>
          <w:numId w:val="0"/>
        </w:numPr>
        <w:ind w:leftChars="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本项目为交钥匙项目，投标报价包含服务产品的费用、安装调试费用、验收费用、运输、税收费用等及其产生的其他相关费用（采购人除支付成交价以外不再支付任何费用）</w:t>
      </w:r>
    </w:p>
    <w:p w14:paraId="619B8CEB">
      <w:pPr>
        <w:pageBreakBefore w:val="0"/>
        <w:kinsoku/>
        <w:wordWrap/>
        <w:overflowPunct/>
        <w:topLinePunct w:val="0"/>
        <w:bidi w:val="0"/>
        <w:adjustRightInd/>
        <w:snapToGrid/>
        <w:spacing w:before="240" w:beforeLines="100" w:after="120" w:afterLines="50" w:line="56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评分表</w:t>
      </w:r>
    </w:p>
    <w:tbl>
      <w:tblPr>
        <w:tblStyle w:val="6"/>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1504"/>
        <w:gridCol w:w="966"/>
        <w:gridCol w:w="5080"/>
      </w:tblGrid>
      <w:tr w14:paraId="4667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4" w:type="dxa"/>
            <w:gridSpan w:val="2"/>
            <w:vAlign w:val="center"/>
          </w:tcPr>
          <w:p w14:paraId="010E708B">
            <w:pPr>
              <w:pageBreakBefore w:val="0"/>
              <w:widowControl/>
              <w:kinsoku/>
              <w:wordWrap/>
              <w:overflowPunct/>
              <w:topLinePunct w:val="0"/>
              <w:bidi w:val="0"/>
              <w:adjustRightInd/>
              <w:snapToGrid/>
              <w:spacing w:line="560" w:lineRule="exact"/>
              <w:ind w:firstLine="0" w:firstLineChars="0"/>
              <w:jc w:val="center"/>
              <w:textAlignment w:val="auto"/>
              <w:rPr>
                <w:rFonts w:ascii="宋体" w:hAnsi="宋体" w:eastAsia="宋体" w:cs="宋体"/>
                <w:b/>
                <w:sz w:val="28"/>
                <w:szCs w:val="28"/>
                <w:highlight w:val="none"/>
              </w:rPr>
            </w:pPr>
            <w:r>
              <w:rPr>
                <w:rFonts w:hint="eastAsia" w:ascii="宋体" w:hAnsi="宋体" w:eastAsia="宋体" w:cs="宋体"/>
                <w:b/>
                <w:sz w:val="28"/>
                <w:szCs w:val="28"/>
                <w:highlight w:val="none"/>
              </w:rPr>
              <w:t>评审因数</w:t>
            </w:r>
          </w:p>
        </w:tc>
        <w:tc>
          <w:tcPr>
            <w:tcW w:w="966" w:type="dxa"/>
            <w:vAlign w:val="center"/>
          </w:tcPr>
          <w:p w14:paraId="00CE1376">
            <w:pPr>
              <w:pageBreakBefore w:val="0"/>
              <w:widowControl/>
              <w:kinsoku/>
              <w:wordWrap/>
              <w:overflowPunct/>
              <w:topLinePunct w:val="0"/>
              <w:bidi w:val="0"/>
              <w:adjustRightInd/>
              <w:snapToGrid/>
              <w:spacing w:line="560" w:lineRule="exact"/>
              <w:ind w:firstLine="0" w:firstLineChars="0"/>
              <w:jc w:val="center"/>
              <w:textAlignment w:val="auto"/>
              <w:rPr>
                <w:rFonts w:ascii="宋体" w:hAnsi="宋体" w:eastAsia="宋体" w:cs="宋体"/>
                <w:b/>
                <w:sz w:val="28"/>
                <w:szCs w:val="28"/>
                <w:highlight w:val="none"/>
              </w:rPr>
            </w:pPr>
            <w:r>
              <w:rPr>
                <w:rFonts w:hint="eastAsia" w:ascii="宋体" w:hAnsi="宋体" w:eastAsia="宋体" w:cs="宋体"/>
                <w:b/>
                <w:sz w:val="28"/>
                <w:szCs w:val="28"/>
                <w:highlight w:val="none"/>
              </w:rPr>
              <w:t>分值</w:t>
            </w:r>
          </w:p>
        </w:tc>
        <w:tc>
          <w:tcPr>
            <w:tcW w:w="5080" w:type="dxa"/>
            <w:vAlign w:val="center"/>
          </w:tcPr>
          <w:p w14:paraId="51AF07DB">
            <w:pPr>
              <w:pageBreakBefore w:val="0"/>
              <w:widowControl/>
              <w:kinsoku/>
              <w:wordWrap/>
              <w:overflowPunct/>
              <w:topLinePunct w:val="0"/>
              <w:bidi w:val="0"/>
              <w:adjustRightInd/>
              <w:snapToGrid/>
              <w:spacing w:line="560" w:lineRule="exact"/>
              <w:ind w:firstLine="0" w:firstLineChars="0"/>
              <w:jc w:val="center"/>
              <w:textAlignment w:val="auto"/>
              <w:rPr>
                <w:rFonts w:ascii="宋体" w:hAnsi="宋体" w:eastAsia="宋体" w:cs="宋体"/>
                <w:b/>
                <w:sz w:val="28"/>
                <w:szCs w:val="28"/>
                <w:highlight w:val="none"/>
              </w:rPr>
            </w:pPr>
            <w:r>
              <w:rPr>
                <w:rFonts w:hint="eastAsia" w:ascii="宋体" w:hAnsi="宋体" w:eastAsia="宋体" w:cs="宋体"/>
                <w:b/>
                <w:sz w:val="28"/>
                <w:szCs w:val="28"/>
                <w:highlight w:val="none"/>
              </w:rPr>
              <w:t>评审标准</w:t>
            </w:r>
          </w:p>
        </w:tc>
      </w:tr>
      <w:tr w14:paraId="7DFE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Align w:val="center"/>
          </w:tcPr>
          <w:p w14:paraId="33E2C6BD">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rPr>
              <w:t>1.报价分</w:t>
            </w:r>
          </w:p>
          <w:p w14:paraId="7ABBEFBE">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b/>
                <w:sz w:val="28"/>
                <w:szCs w:val="28"/>
                <w:highlight w:val="none"/>
              </w:rPr>
            </w:pPr>
            <w:r>
              <w:rPr>
                <w:rFonts w:hint="eastAsia" w:ascii="宋体" w:hAnsi="宋体" w:eastAsia="宋体" w:cs="宋体"/>
                <w:b/>
                <w:bCs/>
                <w:sz w:val="28"/>
                <w:szCs w:val="28"/>
                <w:highlight w:val="none"/>
              </w:rPr>
              <w:t>（满分</w:t>
            </w: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0分）</w:t>
            </w:r>
          </w:p>
        </w:tc>
        <w:tc>
          <w:tcPr>
            <w:tcW w:w="1504" w:type="dxa"/>
            <w:vAlign w:val="center"/>
          </w:tcPr>
          <w:p w14:paraId="0156E6D7">
            <w:pPr>
              <w:pageBreakBefore w:val="0"/>
              <w:widowControl/>
              <w:kinsoku/>
              <w:wordWrap/>
              <w:overflowPunct/>
              <w:topLinePunct w:val="0"/>
              <w:bidi w:val="0"/>
              <w:adjustRightInd/>
              <w:snapToGrid/>
              <w:spacing w:line="560" w:lineRule="exact"/>
              <w:ind w:firstLine="0" w:firstLine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sz w:val="28"/>
                <w:szCs w:val="28"/>
                <w:highlight w:val="none"/>
              </w:rPr>
              <w:t>1.1报价</w:t>
            </w:r>
            <w:r>
              <w:rPr>
                <w:rFonts w:hint="eastAsia" w:ascii="宋体" w:hAnsi="宋体" w:eastAsia="宋体" w:cs="宋体"/>
                <w:sz w:val="28"/>
                <w:szCs w:val="28"/>
                <w:highlight w:val="none"/>
                <w:lang w:val="en-US" w:eastAsia="zh-CN"/>
              </w:rPr>
              <w:t>分</w:t>
            </w:r>
          </w:p>
        </w:tc>
        <w:tc>
          <w:tcPr>
            <w:tcW w:w="966" w:type="dxa"/>
            <w:vAlign w:val="center"/>
          </w:tcPr>
          <w:p w14:paraId="286DD611">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b/>
                <w:sz w:val="28"/>
                <w:szCs w:val="28"/>
                <w:highlight w:val="none"/>
              </w:rPr>
            </w:pPr>
            <w:r>
              <w:rPr>
                <w:rFonts w:hint="eastAsia" w:ascii="宋体" w:hAnsi="宋体" w:eastAsia="宋体" w:cs="宋体"/>
                <w:bCs/>
                <w:sz w:val="28"/>
                <w:szCs w:val="28"/>
                <w:highlight w:val="none"/>
                <w:lang w:val="en-US" w:eastAsia="zh-CN"/>
              </w:rPr>
              <w:t>1</w:t>
            </w:r>
            <w:r>
              <w:rPr>
                <w:rFonts w:hint="eastAsia" w:ascii="宋体" w:hAnsi="宋体" w:eastAsia="宋体" w:cs="宋体"/>
                <w:bCs/>
                <w:sz w:val="28"/>
                <w:szCs w:val="28"/>
                <w:highlight w:val="none"/>
              </w:rPr>
              <w:t>0</w:t>
            </w:r>
          </w:p>
        </w:tc>
        <w:tc>
          <w:tcPr>
            <w:tcW w:w="5080" w:type="dxa"/>
            <w:vAlign w:val="center"/>
          </w:tcPr>
          <w:p w14:paraId="29A4FFBB">
            <w:pPr>
              <w:pageBreakBefore w:val="0"/>
              <w:widowControl/>
              <w:kinsoku/>
              <w:wordWrap/>
              <w:overflowPunct/>
              <w:topLinePunct w:val="0"/>
              <w:bidi w:val="0"/>
              <w:adjustRightInd/>
              <w:snapToGrid/>
              <w:spacing w:line="560" w:lineRule="exact"/>
              <w:ind w:firstLine="0" w:firstLineChars="0"/>
              <w:jc w:val="center"/>
              <w:textAlignment w:val="auto"/>
              <w:rPr>
                <w:rFonts w:ascii="宋体" w:hAnsi="宋体" w:eastAsia="宋体" w:cs="宋体"/>
                <w:b/>
                <w:sz w:val="28"/>
                <w:szCs w:val="28"/>
                <w:highlight w:val="none"/>
              </w:rPr>
            </w:pPr>
            <w:r>
              <w:rPr>
                <w:rFonts w:hint="eastAsia" w:ascii="宋体" w:hAnsi="宋体" w:eastAsia="宋体" w:cs="宋体"/>
                <w:b/>
                <w:sz w:val="28"/>
                <w:szCs w:val="28"/>
                <w:highlight w:val="none"/>
              </w:rPr>
              <w:t>报价得分=（</w:t>
            </w:r>
            <w:r>
              <w:rPr>
                <w:rFonts w:hint="eastAsia" w:ascii="宋体" w:hAnsi="宋体" w:eastAsia="宋体" w:cs="宋体"/>
                <w:b/>
                <w:sz w:val="28"/>
                <w:szCs w:val="28"/>
                <w:highlight w:val="none"/>
                <w:lang w:val="en-US" w:eastAsia="zh-CN"/>
              </w:rPr>
              <w:t>最低投标报价</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最终投标</w:t>
            </w:r>
            <w:r>
              <w:rPr>
                <w:rFonts w:hint="eastAsia" w:ascii="宋体" w:hAnsi="宋体" w:eastAsia="宋体" w:cs="宋体"/>
                <w:b/>
                <w:sz w:val="28"/>
                <w:szCs w:val="28"/>
                <w:highlight w:val="none"/>
              </w:rPr>
              <w:t>报价）×</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rPr>
              <w:t>0</w:t>
            </w:r>
          </w:p>
          <w:p w14:paraId="254C9520">
            <w:pPr>
              <w:pageBreakBefore w:val="0"/>
              <w:widowControl/>
              <w:kinsoku/>
              <w:wordWrap/>
              <w:overflowPunct/>
              <w:topLinePunct w:val="0"/>
              <w:bidi w:val="0"/>
              <w:adjustRightInd/>
              <w:snapToGrid/>
              <w:spacing w:line="560" w:lineRule="exact"/>
              <w:ind w:firstLine="0" w:firstLineChars="0"/>
              <w:textAlignment w:val="auto"/>
              <w:rPr>
                <w:rFonts w:ascii="宋体" w:hAnsi="宋体" w:eastAsia="宋体" w:cs="宋体"/>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1</w:t>
            </w:r>
            <w:r>
              <w:rPr>
                <w:rFonts w:hint="eastAsia" w:ascii="宋体" w:hAnsi="宋体" w:eastAsia="宋体" w:cs="宋体"/>
                <w:bCs/>
                <w:sz w:val="28"/>
                <w:szCs w:val="28"/>
                <w:highlight w:val="none"/>
              </w:rPr>
              <w:t>）项目评审过程中，不得去掉报价中的最高报价和最低报价。</w:t>
            </w:r>
          </w:p>
          <w:p w14:paraId="78D8C818">
            <w:pPr>
              <w:pageBreakBefore w:val="0"/>
              <w:widowControl/>
              <w:kinsoku/>
              <w:wordWrap/>
              <w:overflowPunct/>
              <w:topLinePunct w:val="0"/>
              <w:bidi w:val="0"/>
              <w:adjustRightInd/>
              <w:snapToGrid/>
              <w:spacing w:line="560" w:lineRule="exact"/>
              <w:ind w:firstLine="0" w:firstLineChars="0"/>
              <w:textAlignment w:val="auto"/>
              <w:rPr>
                <w:rFonts w:ascii="宋体" w:hAnsi="宋体" w:eastAsia="宋体" w:cs="宋体"/>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比选</w:t>
            </w:r>
            <w:r>
              <w:rPr>
                <w:rFonts w:hint="eastAsia" w:ascii="宋体" w:hAnsi="宋体" w:eastAsia="宋体" w:cs="宋体"/>
                <w:bCs/>
                <w:sz w:val="28"/>
                <w:szCs w:val="28"/>
                <w:highlight w:val="none"/>
              </w:rPr>
              <w:t>小组只对资格性检查和符合性审查合格的响应文件进行价格评审。</w:t>
            </w:r>
          </w:p>
          <w:p w14:paraId="242C3168">
            <w:pPr>
              <w:pageBreakBefore w:val="0"/>
              <w:widowControl/>
              <w:kinsoku/>
              <w:wordWrap/>
              <w:overflowPunct/>
              <w:topLinePunct w:val="0"/>
              <w:bidi w:val="0"/>
              <w:adjustRightInd/>
              <w:snapToGrid/>
              <w:spacing w:line="560" w:lineRule="exact"/>
              <w:ind w:firstLine="0" w:firstLineChars="0"/>
              <w:textAlignment w:val="auto"/>
              <w:rPr>
                <w:rFonts w:ascii="宋体" w:hAnsi="宋体" w:eastAsia="宋体" w:cs="宋体"/>
                <w:b/>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）超过项目预算或最高限价（若有）的</w:t>
            </w:r>
            <w:r>
              <w:rPr>
                <w:rFonts w:hint="eastAsia" w:ascii="宋体" w:hAnsi="宋体" w:eastAsia="宋体" w:cs="宋体"/>
                <w:bCs/>
                <w:sz w:val="28"/>
                <w:szCs w:val="28"/>
                <w:highlight w:val="none"/>
                <w:lang w:val="en-US" w:eastAsia="zh-CN"/>
              </w:rPr>
              <w:t>投标</w:t>
            </w:r>
            <w:r>
              <w:rPr>
                <w:rFonts w:hint="eastAsia" w:ascii="宋体" w:hAnsi="宋体" w:eastAsia="宋体" w:cs="宋体"/>
                <w:bCs/>
                <w:sz w:val="28"/>
                <w:szCs w:val="28"/>
                <w:highlight w:val="none"/>
              </w:rPr>
              <w:t>报价按无效响应处理。</w:t>
            </w:r>
          </w:p>
        </w:tc>
      </w:tr>
      <w:tr w14:paraId="59A7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60" w:type="dxa"/>
            <w:vMerge w:val="restart"/>
            <w:vAlign w:val="center"/>
          </w:tcPr>
          <w:p w14:paraId="60FE02D0">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rPr>
              <w:t>2.技术分</w:t>
            </w:r>
          </w:p>
          <w:p w14:paraId="39F38A2D">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sz w:val="28"/>
                <w:szCs w:val="28"/>
                <w:highlight w:val="none"/>
              </w:rPr>
            </w:pPr>
            <w:r>
              <w:rPr>
                <w:rFonts w:hint="eastAsia" w:ascii="宋体" w:hAnsi="宋体" w:eastAsia="宋体" w:cs="宋体"/>
                <w:b/>
                <w:bCs/>
                <w:sz w:val="28"/>
                <w:szCs w:val="28"/>
                <w:highlight w:val="none"/>
              </w:rPr>
              <w:t>（满分</w:t>
            </w:r>
            <w:r>
              <w:rPr>
                <w:rFonts w:hint="eastAsia" w:ascii="宋体" w:hAnsi="宋体" w:eastAsia="宋体" w:cs="宋体"/>
                <w:b/>
                <w:bCs/>
                <w:sz w:val="28"/>
                <w:szCs w:val="28"/>
                <w:highlight w:val="none"/>
                <w:lang w:val="en-US" w:eastAsia="zh-CN"/>
              </w:rPr>
              <w:t>50</w:t>
            </w:r>
            <w:r>
              <w:rPr>
                <w:rFonts w:hint="eastAsia" w:ascii="宋体" w:hAnsi="宋体" w:eastAsia="宋体" w:cs="宋体"/>
                <w:b/>
                <w:bCs/>
                <w:sz w:val="28"/>
                <w:szCs w:val="28"/>
                <w:highlight w:val="none"/>
              </w:rPr>
              <w:t>分）</w:t>
            </w:r>
          </w:p>
        </w:tc>
        <w:tc>
          <w:tcPr>
            <w:tcW w:w="1504" w:type="dxa"/>
            <w:vAlign w:val="center"/>
          </w:tcPr>
          <w:p w14:paraId="5CF0F798">
            <w:pPr>
              <w:pageBreakBefore w:val="0"/>
              <w:kinsoku/>
              <w:wordWrap/>
              <w:overflowPunct/>
              <w:topLinePunct w:val="0"/>
              <w:bidi w:val="0"/>
              <w:adjustRightInd/>
              <w:snapToGrid/>
              <w:spacing w:after="120" w:line="560" w:lineRule="exact"/>
              <w:ind w:left="0" w:leftChars="0" w:firstLine="0" w:firstLineChars="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2.1施工方案（主观分）</w:t>
            </w:r>
          </w:p>
        </w:tc>
        <w:tc>
          <w:tcPr>
            <w:tcW w:w="966" w:type="dxa"/>
            <w:vAlign w:val="center"/>
          </w:tcPr>
          <w:p w14:paraId="4E9BB982">
            <w:pPr>
              <w:pageBreakBefore w:val="0"/>
              <w:widowControl/>
              <w:kinsoku/>
              <w:wordWrap/>
              <w:overflowPunct/>
              <w:topLinePunct w:val="0"/>
              <w:bidi w:val="0"/>
              <w:adjustRightInd/>
              <w:snapToGrid/>
              <w:spacing w:line="560" w:lineRule="exact"/>
              <w:ind w:firstLine="0" w:firstLineChars="0"/>
              <w:jc w:val="center"/>
              <w:textAlignment w:val="auto"/>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30</w:t>
            </w:r>
          </w:p>
        </w:tc>
        <w:tc>
          <w:tcPr>
            <w:tcW w:w="5080" w:type="dxa"/>
            <w:vAlign w:val="center"/>
          </w:tcPr>
          <w:p w14:paraId="16E1C670">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比选</w:t>
            </w:r>
            <w:r>
              <w:rPr>
                <w:rFonts w:hint="eastAsia" w:ascii="宋体" w:hAnsi="宋体" w:eastAsia="宋体" w:cs="宋体"/>
                <w:bCs/>
                <w:sz w:val="28"/>
                <w:szCs w:val="28"/>
                <w:highlight w:val="none"/>
              </w:rPr>
              <w:t>小组根据供应商提供的</w:t>
            </w:r>
            <w:r>
              <w:rPr>
                <w:rFonts w:hint="eastAsia" w:ascii="宋体" w:hAnsi="宋体" w:eastAsia="宋体" w:cs="宋体"/>
                <w:bCs/>
                <w:sz w:val="28"/>
                <w:szCs w:val="28"/>
                <w:highlight w:val="none"/>
                <w:lang w:val="en-US" w:eastAsia="zh-CN"/>
              </w:rPr>
              <w:t>施工</w:t>
            </w:r>
            <w:r>
              <w:rPr>
                <w:rFonts w:hint="eastAsia" w:ascii="宋体" w:hAnsi="宋体" w:eastAsia="宋体" w:cs="宋体"/>
                <w:bCs/>
                <w:sz w:val="28"/>
                <w:szCs w:val="28"/>
                <w:highlight w:val="none"/>
              </w:rPr>
              <w:t>方案（包括但不限于质量保证、人员配置、技术力量等内容）进行综合评审：</w:t>
            </w:r>
          </w:p>
          <w:p w14:paraId="24207E2A">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1、合理全面、针对性强得</w:t>
            </w:r>
            <w:r>
              <w:rPr>
                <w:rFonts w:hint="eastAsia" w:ascii="宋体" w:hAnsi="宋体" w:eastAsia="宋体" w:cs="宋体"/>
                <w:bCs/>
                <w:sz w:val="28"/>
                <w:szCs w:val="28"/>
                <w:highlight w:val="none"/>
                <w:lang w:val="en-US" w:eastAsia="zh-CN"/>
              </w:rPr>
              <w:t>20-30</w:t>
            </w:r>
            <w:r>
              <w:rPr>
                <w:rFonts w:hint="eastAsia" w:ascii="宋体" w:hAnsi="宋体" w:eastAsia="宋体" w:cs="宋体"/>
                <w:bCs/>
                <w:sz w:val="28"/>
                <w:szCs w:val="28"/>
                <w:highlight w:val="none"/>
              </w:rPr>
              <w:t>分；</w:t>
            </w:r>
          </w:p>
          <w:p w14:paraId="182ABD97">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2、普通、较有针对性得</w:t>
            </w:r>
            <w:r>
              <w:rPr>
                <w:rFonts w:hint="eastAsia" w:ascii="宋体" w:hAnsi="宋体" w:eastAsia="宋体" w:cs="宋体"/>
                <w:bCs/>
                <w:sz w:val="28"/>
                <w:szCs w:val="28"/>
                <w:highlight w:val="none"/>
                <w:lang w:val="en-US" w:eastAsia="zh-CN"/>
              </w:rPr>
              <w:t>10-19</w:t>
            </w:r>
            <w:r>
              <w:rPr>
                <w:rFonts w:hint="eastAsia" w:ascii="宋体" w:hAnsi="宋体" w:eastAsia="宋体" w:cs="宋体"/>
                <w:bCs/>
                <w:sz w:val="28"/>
                <w:szCs w:val="28"/>
                <w:highlight w:val="none"/>
              </w:rPr>
              <w:t>分；</w:t>
            </w:r>
          </w:p>
          <w:p w14:paraId="63097F16">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3、普通、无针对性得</w:t>
            </w:r>
            <w:r>
              <w:rPr>
                <w:rFonts w:hint="eastAsia" w:ascii="宋体" w:hAnsi="宋体" w:eastAsia="宋体" w:cs="宋体"/>
                <w:bCs/>
                <w:sz w:val="28"/>
                <w:szCs w:val="28"/>
                <w:highlight w:val="none"/>
                <w:lang w:val="en-US" w:eastAsia="zh-CN"/>
              </w:rPr>
              <w:t>0-9</w:t>
            </w:r>
            <w:r>
              <w:rPr>
                <w:rFonts w:hint="eastAsia" w:ascii="宋体" w:hAnsi="宋体" w:eastAsia="宋体" w:cs="宋体"/>
                <w:bCs/>
                <w:sz w:val="28"/>
                <w:szCs w:val="28"/>
                <w:highlight w:val="none"/>
              </w:rPr>
              <w:t>分。</w:t>
            </w:r>
          </w:p>
          <w:p w14:paraId="1319BDF7">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合理全面指： </w:t>
            </w:r>
          </w:p>
          <w:p w14:paraId="6E39D310">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a.提供的方案基于</w:t>
            </w:r>
            <w:r>
              <w:rPr>
                <w:rFonts w:hint="eastAsia" w:ascii="宋体" w:hAnsi="宋体" w:eastAsia="宋体" w:cs="宋体"/>
                <w:bCs/>
                <w:sz w:val="28"/>
                <w:szCs w:val="28"/>
                <w:highlight w:val="none"/>
                <w:lang w:val="en-US" w:eastAsia="zh-CN"/>
              </w:rPr>
              <w:t>施工</w:t>
            </w:r>
            <w:r>
              <w:rPr>
                <w:rFonts w:hint="eastAsia" w:ascii="宋体" w:hAnsi="宋体" w:eastAsia="宋体" w:cs="宋体"/>
                <w:bCs/>
                <w:sz w:val="28"/>
                <w:szCs w:val="28"/>
                <w:highlight w:val="none"/>
              </w:rPr>
              <w:t>需求，提出具有可行性的现状情况预判；</w:t>
            </w:r>
          </w:p>
          <w:p w14:paraId="28710F5A">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b.准确把握方案中的重、难点，分析各类情况可能发生的不可预见性，并尽可能列明多种详细预案；</w:t>
            </w:r>
          </w:p>
          <w:p w14:paraId="39F5F167">
            <w:pPr>
              <w:pageBreakBefore w:val="0"/>
              <w:widowControl/>
              <w:kinsoku/>
              <w:wordWrap/>
              <w:overflowPunct/>
              <w:topLinePunct w:val="0"/>
              <w:bidi w:val="0"/>
              <w:adjustRightInd/>
              <w:snapToGrid/>
              <w:spacing w:line="560" w:lineRule="exact"/>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c.针对不同的服务需求，能提供个性化的服务解决方案，可以举例论证；</w:t>
            </w:r>
          </w:p>
          <w:p w14:paraId="5DE6B07D">
            <w:pPr>
              <w:pageBreakBefore w:val="0"/>
              <w:widowControl/>
              <w:kinsoku/>
              <w:wordWrap/>
              <w:overflowPunct/>
              <w:topLinePunct w:val="0"/>
              <w:bidi w:val="0"/>
              <w:adjustRightInd/>
              <w:snapToGrid/>
              <w:spacing w:line="560" w:lineRule="exact"/>
              <w:jc w:val="both"/>
              <w:textAlignment w:val="auto"/>
              <w:rPr>
                <w:rFonts w:ascii="宋体" w:hAnsi="宋体" w:eastAsia="宋体" w:cs="宋体"/>
                <w:bCs/>
                <w:sz w:val="28"/>
                <w:szCs w:val="28"/>
                <w:highlight w:val="none"/>
              </w:rPr>
            </w:pPr>
            <w:r>
              <w:rPr>
                <w:rFonts w:hint="eastAsia" w:ascii="宋体" w:hAnsi="宋体" w:eastAsia="宋体" w:cs="宋体"/>
                <w:bCs/>
                <w:sz w:val="28"/>
                <w:szCs w:val="28"/>
                <w:highlight w:val="none"/>
              </w:rPr>
              <w:t>d.对于资料、数据等响应方案的支持材料提供详细、具体，具有一定的论证支持性。</w:t>
            </w:r>
          </w:p>
        </w:tc>
      </w:tr>
      <w:tr w14:paraId="7BB3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60" w:type="dxa"/>
            <w:vMerge w:val="continue"/>
            <w:vAlign w:val="center"/>
          </w:tcPr>
          <w:p w14:paraId="5BA6AC6B">
            <w:pPr>
              <w:pageBreakBefore w:val="0"/>
              <w:kinsoku/>
              <w:wordWrap/>
              <w:overflowPunct/>
              <w:topLinePunct w:val="0"/>
              <w:bidi w:val="0"/>
              <w:adjustRightInd/>
              <w:snapToGrid/>
              <w:spacing w:after="120" w:line="560" w:lineRule="exact"/>
              <w:ind w:firstLine="422"/>
              <w:jc w:val="center"/>
              <w:textAlignment w:val="auto"/>
              <w:rPr>
                <w:rFonts w:ascii="宋体" w:hAnsi="宋体" w:eastAsia="宋体" w:cs="宋体"/>
                <w:b/>
                <w:bCs/>
                <w:sz w:val="28"/>
                <w:szCs w:val="28"/>
                <w:highlight w:val="none"/>
              </w:rPr>
            </w:pPr>
          </w:p>
        </w:tc>
        <w:tc>
          <w:tcPr>
            <w:tcW w:w="1504" w:type="dxa"/>
            <w:vAlign w:val="center"/>
          </w:tcPr>
          <w:p w14:paraId="6052A04A">
            <w:pPr>
              <w:pageBreakBefore w:val="0"/>
              <w:kinsoku/>
              <w:wordWrap/>
              <w:overflowPunct/>
              <w:topLinePunct w:val="0"/>
              <w:bidi w:val="0"/>
              <w:adjustRightInd/>
              <w:snapToGrid/>
              <w:spacing w:after="120" w:line="560" w:lineRule="exact"/>
              <w:ind w:left="0" w:leftChars="0" w:firstLine="0" w:firstLineChars="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响应性评审（客观分）</w:t>
            </w:r>
          </w:p>
        </w:tc>
        <w:tc>
          <w:tcPr>
            <w:tcW w:w="966" w:type="dxa"/>
            <w:vAlign w:val="center"/>
          </w:tcPr>
          <w:p w14:paraId="08838FA4">
            <w:pPr>
              <w:pageBreakBefore w:val="0"/>
              <w:widowControl/>
              <w:kinsoku/>
              <w:wordWrap/>
              <w:overflowPunct/>
              <w:topLinePunct w:val="0"/>
              <w:bidi w:val="0"/>
              <w:adjustRightInd/>
              <w:snapToGrid/>
              <w:spacing w:line="560" w:lineRule="exact"/>
              <w:ind w:firstLine="0" w:firstLineChars="0"/>
              <w:jc w:val="center"/>
              <w:textAlignment w:val="auto"/>
              <w:rPr>
                <w:rFonts w:hint="default" w:ascii="宋体" w:hAnsi="宋体" w:eastAsia="宋体" w:cs="宋体"/>
                <w:bCs/>
                <w:sz w:val="28"/>
                <w:szCs w:val="28"/>
                <w:highlight w:val="none"/>
                <w:lang w:val="en-US"/>
              </w:rPr>
            </w:pPr>
            <w:r>
              <w:rPr>
                <w:rFonts w:hint="eastAsia" w:ascii="宋体" w:hAnsi="宋体" w:eastAsia="宋体" w:cs="宋体"/>
                <w:bCs/>
                <w:sz w:val="28"/>
                <w:szCs w:val="28"/>
                <w:highlight w:val="none"/>
                <w:lang w:val="en-US" w:eastAsia="zh-CN"/>
              </w:rPr>
              <w:t>20</w:t>
            </w:r>
          </w:p>
        </w:tc>
        <w:tc>
          <w:tcPr>
            <w:tcW w:w="5080" w:type="dxa"/>
            <w:vAlign w:val="center"/>
          </w:tcPr>
          <w:p w14:paraId="0E6931B3">
            <w:pPr>
              <w:pageBreakBefore w:val="0"/>
              <w:widowControl/>
              <w:kinsoku/>
              <w:wordWrap/>
              <w:overflowPunct/>
              <w:topLinePunct w:val="0"/>
              <w:bidi w:val="0"/>
              <w:adjustRightInd/>
              <w:snapToGrid/>
              <w:spacing w:line="56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val="en-US" w:eastAsia="zh-CN"/>
              </w:rPr>
              <w:t>.</w:t>
            </w:r>
            <w:r>
              <w:rPr>
                <w:rFonts w:hint="eastAsia" w:ascii="宋体" w:hAnsi="宋体" w:eastAsia="宋体" w:cs="宋体"/>
                <w:bCs/>
                <w:sz w:val="28"/>
                <w:szCs w:val="28"/>
                <w:highlight w:val="none"/>
              </w:rPr>
              <w:t>供应商承诺：根据采购人要求，做好</w:t>
            </w:r>
            <w:r>
              <w:rPr>
                <w:rFonts w:hint="eastAsia" w:ascii="宋体" w:hAnsi="宋体" w:eastAsia="宋体" w:cs="宋体"/>
                <w:bCs/>
                <w:sz w:val="28"/>
                <w:szCs w:val="28"/>
                <w:highlight w:val="none"/>
                <w:lang w:val="en-US" w:eastAsia="zh-CN"/>
              </w:rPr>
              <w:t>设备维修后调试</w:t>
            </w:r>
            <w:r>
              <w:rPr>
                <w:rFonts w:hint="eastAsia" w:ascii="宋体" w:hAnsi="宋体" w:eastAsia="宋体" w:cs="宋体"/>
                <w:bCs/>
                <w:sz w:val="28"/>
                <w:szCs w:val="28"/>
                <w:highlight w:val="none"/>
              </w:rPr>
              <w:t>，确保正常</w:t>
            </w:r>
            <w:r>
              <w:rPr>
                <w:rFonts w:hint="eastAsia" w:ascii="宋体" w:hAnsi="宋体" w:eastAsia="宋体" w:cs="宋体"/>
                <w:bCs/>
                <w:sz w:val="28"/>
                <w:szCs w:val="28"/>
                <w:highlight w:val="none"/>
                <w:lang w:val="en-US" w:eastAsia="zh-CN"/>
              </w:rPr>
              <w:t>使用</w:t>
            </w:r>
            <w:r>
              <w:rPr>
                <w:rFonts w:hint="eastAsia" w:ascii="宋体" w:hAnsi="宋体" w:eastAsia="宋体" w:cs="宋体"/>
                <w:bCs/>
                <w:sz w:val="28"/>
                <w:szCs w:val="28"/>
                <w:highlight w:val="none"/>
              </w:rPr>
              <w:t>，得</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分，否则不得分；</w:t>
            </w:r>
          </w:p>
          <w:p w14:paraId="66605184">
            <w:pPr>
              <w:pageBreakBefore w:val="0"/>
              <w:widowControl/>
              <w:kinsoku/>
              <w:wordWrap/>
              <w:overflowPunct/>
              <w:topLinePunct w:val="0"/>
              <w:bidi w:val="0"/>
              <w:adjustRightInd/>
              <w:snapToGrid/>
              <w:spacing w:line="56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供应商承诺：提供资产管理服务，确保固定资产安全，防止</w:t>
            </w:r>
            <w:r>
              <w:rPr>
                <w:rFonts w:hint="eastAsia" w:ascii="宋体" w:hAnsi="宋体" w:eastAsia="宋体" w:cs="宋体"/>
                <w:bCs/>
                <w:sz w:val="28"/>
                <w:szCs w:val="28"/>
                <w:highlight w:val="none"/>
                <w:lang w:val="en-US" w:eastAsia="zh-CN"/>
              </w:rPr>
              <w:t>二次损坏</w:t>
            </w:r>
            <w:r>
              <w:rPr>
                <w:rFonts w:hint="eastAsia" w:ascii="宋体" w:hAnsi="宋体" w:eastAsia="宋体" w:cs="宋体"/>
                <w:bCs/>
                <w:sz w:val="28"/>
                <w:szCs w:val="28"/>
                <w:highlight w:val="none"/>
              </w:rPr>
              <w:t>，得</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分，否则不得分；</w:t>
            </w:r>
          </w:p>
          <w:p w14:paraId="3A1EFC1A">
            <w:pPr>
              <w:pageBreakBefore w:val="0"/>
              <w:widowControl/>
              <w:kinsoku/>
              <w:wordWrap/>
              <w:overflowPunct/>
              <w:topLinePunct w:val="0"/>
              <w:bidi w:val="0"/>
              <w:adjustRightInd/>
              <w:snapToGrid/>
              <w:spacing w:line="56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3</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供应商承诺：负责</w:t>
            </w:r>
            <w:r>
              <w:rPr>
                <w:rFonts w:hint="eastAsia" w:ascii="宋体" w:hAnsi="宋体" w:eastAsia="宋体" w:cs="宋体"/>
                <w:bCs/>
                <w:sz w:val="28"/>
                <w:szCs w:val="28"/>
                <w:highlight w:val="none"/>
                <w:lang w:val="en-US" w:eastAsia="zh-CN"/>
              </w:rPr>
              <w:t>施工场地</w:t>
            </w:r>
            <w:r>
              <w:rPr>
                <w:rFonts w:hint="eastAsia" w:ascii="宋体" w:hAnsi="宋体" w:eastAsia="宋体" w:cs="宋体"/>
                <w:bCs/>
                <w:sz w:val="28"/>
                <w:szCs w:val="28"/>
                <w:highlight w:val="none"/>
              </w:rPr>
              <w:t>卫生清理，确保</w:t>
            </w:r>
            <w:r>
              <w:rPr>
                <w:rFonts w:hint="eastAsia" w:ascii="宋体" w:hAnsi="宋体" w:eastAsia="宋体" w:cs="宋体"/>
                <w:bCs/>
                <w:sz w:val="28"/>
                <w:szCs w:val="28"/>
                <w:highlight w:val="none"/>
                <w:lang w:val="en-US" w:eastAsia="zh-CN"/>
              </w:rPr>
              <w:t>场地</w:t>
            </w:r>
            <w:r>
              <w:rPr>
                <w:rFonts w:hint="eastAsia" w:ascii="宋体" w:hAnsi="宋体" w:eastAsia="宋体" w:cs="宋体"/>
                <w:bCs/>
                <w:sz w:val="28"/>
                <w:szCs w:val="28"/>
                <w:highlight w:val="none"/>
              </w:rPr>
              <w:t>卫生保洁，得</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分，否则不得分；</w:t>
            </w:r>
          </w:p>
          <w:p w14:paraId="0EAAF97E">
            <w:pPr>
              <w:pageBreakBefore w:val="0"/>
              <w:widowControl/>
              <w:kinsoku/>
              <w:wordWrap/>
              <w:overflowPunct/>
              <w:topLinePunct w:val="0"/>
              <w:bidi w:val="0"/>
              <w:adjustRightInd/>
              <w:snapToGrid/>
              <w:spacing w:line="560" w:lineRule="exac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4</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供应商承诺：负责</w:t>
            </w:r>
            <w:r>
              <w:rPr>
                <w:rFonts w:hint="eastAsia" w:ascii="宋体" w:hAnsi="宋体" w:eastAsia="宋体" w:cs="宋体"/>
                <w:bCs/>
                <w:sz w:val="28"/>
                <w:szCs w:val="28"/>
                <w:highlight w:val="none"/>
                <w:lang w:val="en-US" w:eastAsia="zh-CN"/>
              </w:rPr>
              <w:t>维修人员具备相关工作培训经验</w:t>
            </w:r>
            <w:r>
              <w:rPr>
                <w:rFonts w:hint="eastAsia" w:ascii="宋体" w:hAnsi="宋体" w:eastAsia="宋体" w:cs="宋体"/>
                <w:bCs/>
                <w:sz w:val="28"/>
                <w:szCs w:val="28"/>
                <w:highlight w:val="none"/>
              </w:rPr>
              <w:t>，得</w:t>
            </w:r>
            <w:r>
              <w:rPr>
                <w:rFonts w:hint="eastAsia" w:ascii="宋体" w:hAnsi="宋体" w:eastAsia="宋体" w:cs="宋体"/>
                <w:bCs/>
                <w:sz w:val="28"/>
                <w:szCs w:val="28"/>
                <w:highlight w:val="none"/>
                <w:lang w:val="en-US" w:eastAsia="zh-CN"/>
              </w:rPr>
              <w:t>4</w:t>
            </w:r>
            <w:r>
              <w:rPr>
                <w:rFonts w:hint="eastAsia" w:ascii="宋体" w:hAnsi="宋体" w:eastAsia="宋体" w:cs="宋体"/>
                <w:bCs/>
                <w:sz w:val="28"/>
                <w:szCs w:val="28"/>
                <w:highlight w:val="none"/>
              </w:rPr>
              <w:t>分，否则不得分；</w:t>
            </w:r>
          </w:p>
          <w:p w14:paraId="14484241">
            <w:pPr>
              <w:pageBreakBefore w:val="0"/>
              <w:widowControl/>
              <w:kinsoku/>
              <w:wordWrap/>
              <w:overflowPunct/>
              <w:topLinePunct w:val="0"/>
              <w:bidi w:val="0"/>
              <w:adjustRightInd/>
              <w:snapToGrid/>
              <w:spacing w:line="560" w:lineRule="exact"/>
              <w:textAlignment w:val="auto"/>
              <w:rPr>
                <w:rFonts w:ascii="宋体" w:hAnsi="宋体" w:eastAsia="宋体" w:cs="宋体"/>
                <w:bCs/>
                <w:sz w:val="28"/>
                <w:szCs w:val="28"/>
                <w:highlight w:val="none"/>
              </w:rPr>
            </w:pPr>
            <w:r>
              <w:rPr>
                <w:rFonts w:hint="eastAsia" w:ascii="宋体" w:hAnsi="宋体" w:eastAsia="宋体" w:cs="宋体"/>
                <w:bCs/>
                <w:sz w:val="28"/>
                <w:szCs w:val="28"/>
                <w:highlight w:val="none"/>
                <w:lang w:val="en-US" w:eastAsia="zh-CN"/>
              </w:rPr>
              <w:t>5.供应商承诺：所购买配件均为原厂渠道，确保配件质量，得4分，否则不得分。</w:t>
            </w:r>
          </w:p>
        </w:tc>
      </w:tr>
      <w:tr w14:paraId="23A5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restart"/>
            <w:vAlign w:val="center"/>
          </w:tcPr>
          <w:p w14:paraId="6FDDD884">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4C14F2A2">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28F8CACA">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5B7B37B1">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771F4EE1">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36229074">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1C9D5FE4">
            <w:pPr>
              <w:pageBreakBefore w:val="0"/>
              <w:kinsoku/>
              <w:wordWrap/>
              <w:overflowPunct/>
              <w:topLinePunct w:val="0"/>
              <w:bidi w:val="0"/>
              <w:adjustRightInd/>
              <w:snapToGrid/>
              <w:spacing w:after="120" w:line="560" w:lineRule="exact"/>
              <w:ind w:left="0" w:leftChars="0" w:firstLine="0" w:firstLineChars="0"/>
              <w:jc w:val="both"/>
              <w:textAlignment w:val="auto"/>
              <w:rPr>
                <w:rFonts w:hint="eastAsia" w:ascii="宋体" w:hAnsi="宋体" w:eastAsia="宋体" w:cs="宋体"/>
                <w:b/>
                <w:bCs/>
                <w:sz w:val="28"/>
                <w:szCs w:val="28"/>
                <w:highlight w:val="none"/>
              </w:rPr>
            </w:pPr>
          </w:p>
          <w:p w14:paraId="7B44846D">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rPr>
              <w:t>3.商务分</w:t>
            </w:r>
          </w:p>
          <w:p w14:paraId="2332C8B0">
            <w:pPr>
              <w:pageBreakBefore w:val="0"/>
              <w:kinsoku/>
              <w:wordWrap/>
              <w:overflowPunct/>
              <w:topLinePunct w:val="0"/>
              <w:bidi w:val="0"/>
              <w:adjustRightInd/>
              <w:snapToGrid/>
              <w:spacing w:after="120" w:line="560" w:lineRule="exact"/>
              <w:ind w:left="0" w:leftChars="0" w:firstLine="0" w:firstLineChars="0"/>
              <w:jc w:val="center"/>
              <w:textAlignment w:val="auto"/>
              <w:rPr>
                <w:rFonts w:ascii="宋体" w:hAnsi="宋体" w:eastAsia="宋体" w:cs="宋体"/>
                <w:sz w:val="28"/>
                <w:szCs w:val="28"/>
                <w:highlight w:val="none"/>
              </w:rPr>
            </w:pPr>
            <w:r>
              <w:rPr>
                <w:rFonts w:hint="eastAsia" w:ascii="宋体" w:hAnsi="宋体" w:eastAsia="宋体" w:cs="宋体"/>
                <w:b/>
                <w:bCs/>
                <w:sz w:val="28"/>
                <w:szCs w:val="28"/>
                <w:highlight w:val="none"/>
              </w:rPr>
              <w:t>（满分</w:t>
            </w:r>
            <w:r>
              <w:rPr>
                <w:rFonts w:hint="eastAsia" w:ascii="宋体" w:hAnsi="宋体" w:eastAsia="宋体" w:cs="宋体"/>
                <w:b/>
                <w:bCs/>
                <w:sz w:val="28"/>
                <w:szCs w:val="28"/>
                <w:highlight w:val="none"/>
                <w:lang w:val="en-US" w:eastAsia="zh-CN"/>
              </w:rPr>
              <w:t>40</w:t>
            </w:r>
            <w:r>
              <w:rPr>
                <w:rFonts w:hint="eastAsia" w:ascii="宋体" w:hAnsi="宋体" w:eastAsia="宋体" w:cs="宋体"/>
                <w:b/>
                <w:bCs/>
                <w:sz w:val="28"/>
                <w:szCs w:val="28"/>
                <w:highlight w:val="none"/>
              </w:rPr>
              <w:t>分）</w:t>
            </w:r>
          </w:p>
        </w:tc>
        <w:tc>
          <w:tcPr>
            <w:tcW w:w="1504" w:type="dxa"/>
            <w:vAlign w:val="center"/>
          </w:tcPr>
          <w:p w14:paraId="70EF5BAB">
            <w:pPr>
              <w:pageBreakBefore w:val="0"/>
              <w:kinsoku/>
              <w:wordWrap/>
              <w:overflowPunct/>
              <w:topLinePunct w:val="0"/>
              <w:bidi w:val="0"/>
              <w:adjustRightInd/>
              <w:snapToGrid/>
              <w:spacing w:after="120" w:line="560" w:lineRule="exact"/>
              <w:ind w:left="0" w:leftChars="0" w:firstLine="0" w:firstLineChars="0"/>
              <w:jc w:val="both"/>
              <w:textAlignment w:val="auto"/>
              <w:rPr>
                <w:rFonts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业绩</w:t>
            </w:r>
            <w:r>
              <w:rPr>
                <w:rFonts w:hint="eastAsia" w:ascii="宋体" w:hAnsi="宋体" w:eastAsia="宋体" w:cs="宋体"/>
                <w:sz w:val="28"/>
                <w:szCs w:val="28"/>
                <w:highlight w:val="none"/>
                <w:lang w:val="en-US" w:eastAsia="zh-CN"/>
              </w:rPr>
              <w:t>评价</w:t>
            </w:r>
          </w:p>
        </w:tc>
        <w:tc>
          <w:tcPr>
            <w:tcW w:w="966" w:type="dxa"/>
            <w:vAlign w:val="center"/>
          </w:tcPr>
          <w:p w14:paraId="72D78877">
            <w:pPr>
              <w:pageBreakBefore w:val="0"/>
              <w:widowControl/>
              <w:kinsoku/>
              <w:wordWrap/>
              <w:overflowPunct/>
              <w:topLinePunct w:val="0"/>
              <w:bidi w:val="0"/>
              <w:adjustRightInd/>
              <w:snapToGrid/>
              <w:spacing w:line="560" w:lineRule="exact"/>
              <w:ind w:firstLine="0" w:firstLineChars="0"/>
              <w:jc w:val="center"/>
              <w:textAlignment w:val="auto"/>
              <w:rPr>
                <w:rFonts w:hint="default" w:ascii="宋体" w:hAnsi="宋体" w:eastAsia="宋体" w:cs="宋体"/>
                <w:bCs/>
                <w:sz w:val="28"/>
                <w:szCs w:val="28"/>
                <w:highlight w:val="none"/>
                <w:lang w:val="en-US" w:eastAsia="zh-CN"/>
              </w:rPr>
            </w:pPr>
            <w:r>
              <w:rPr>
                <w:rFonts w:hint="eastAsia" w:ascii="宋体" w:hAnsi="宋体" w:eastAsia="宋体" w:cs="宋体"/>
                <w:i w:val="0"/>
                <w:iCs w:val="0"/>
                <w:color w:val="000000"/>
                <w:kern w:val="0"/>
                <w:sz w:val="28"/>
                <w:szCs w:val="28"/>
                <w:u w:val="none"/>
                <w:lang w:val="en-US" w:eastAsia="zh-CN" w:bidi="ar"/>
              </w:rPr>
              <w:t>30</w:t>
            </w:r>
          </w:p>
        </w:tc>
        <w:tc>
          <w:tcPr>
            <w:tcW w:w="5080" w:type="dxa"/>
            <w:vAlign w:val="center"/>
          </w:tcPr>
          <w:p w14:paraId="611FB1C5">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2020年1月1日至今，投标供应商承接过类似项目安装、维修的，提供一个有效业绩得5分，最多得30分。</w:t>
            </w:r>
          </w:p>
          <w:p w14:paraId="02B5F41F">
            <w:pPr>
              <w:pageBreakBefore w:val="0"/>
              <w:widowControl/>
              <w:kinsoku/>
              <w:wordWrap/>
              <w:overflowPunct/>
              <w:topLinePunct w:val="0"/>
              <w:bidi w:val="0"/>
              <w:adjustRightInd/>
              <w:snapToGrid/>
              <w:spacing w:line="560" w:lineRule="exact"/>
              <w:jc w:val="left"/>
              <w:textAlignment w:val="auto"/>
              <w:rPr>
                <w:rFonts w:ascii="宋体" w:hAnsi="宋体" w:eastAsia="宋体" w:cs="宋体"/>
                <w:bCs/>
                <w:sz w:val="28"/>
                <w:szCs w:val="28"/>
                <w:highlight w:val="none"/>
              </w:rPr>
            </w:pPr>
            <w:r>
              <w:rPr>
                <w:rFonts w:hint="eastAsia" w:ascii="宋体" w:hAnsi="宋体" w:eastAsia="宋体" w:cs="宋体"/>
                <w:i w:val="0"/>
                <w:iCs w:val="0"/>
                <w:color w:val="000000"/>
                <w:kern w:val="0"/>
                <w:sz w:val="28"/>
                <w:szCs w:val="28"/>
                <w:u w:val="none"/>
                <w:lang w:val="en-US" w:eastAsia="zh-CN" w:bidi="ar"/>
              </w:rPr>
              <w:t>注：提供合同复印件加盖投标供应商公章，内容含服务时间。</w:t>
            </w:r>
          </w:p>
        </w:tc>
      </w:tr>
      <w:tr w14:paraId="641B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continue"/>
            <w:vAlign w:val="center"/>
          </w:tcPr>
          <w:p w14:paraId="695F14CF">
            <w:pPr>
              <w:pageBreakBefore w:val="0"/>
              <w:kinsoku/>
              <w:wordWrap/>
              <w:overflowPunct/>
              <w:topLinePunct w:val="0"/>
              <w:bidi w:val="0"/>
              <w:adjustRightInd/>
              <w:snapToGrid/>
              <w:spacing w:after="120" w:line="560" w:lineRule="exact"/>
              <w:ind w:left="0" w:leftChars="0" w:firstLine="0" w:firstLineChars="0"/>
              <w:jc w:val="left"/>
              <w:textAlignment w:val="auto"/>
              <w:rPr>
                <w:rFonts w:hint="eastAsia" w:ascii="宋体" w:hAnsi="宋体" w:eastAsia="宋体" w:cs="宋体"/>
                <w:b/>
                <w:bCs/>
                <w:sz w:val="28"/>
                <w:szCs w:val="28"/>
                <w:highlight w:val="none"/>
              </w:rPr>
            </w:pPr>
          </w:p>
        </w:tc>
        <w:tc>
          <w:tcPr>
            <w:tcW w:w="1504" w:type="dxa"/>
            <w:vAlign w:val="center"/>
          </w:tcPr>
          <w:p w14:paraId="5AE6A2CC">
            <w:pPr>
              <w:pageBreakBefore w:val="0"/>
              <w:tabs>
                <w:tab w:val="center" w:pos="4153"/>
                <w:tab w:val="right" w:pos="8306"/>
              </w:tabs>
              <w:kinsoku/>
              <w:wordWrap/>
              <w:overflowPunct/>
              <w:topLinePunct w:val="0"/>
              <w:bidi w:val="0"/>
              <w:adjustRightInd/>
              <w:snapToGrid/>
              <w:spacing w:line="560" w:lineRule="exact"/>
              <w:ind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3.2应急响应（客观分）</w:t>
            </w:r>
          </w:p>
        </w:tc>
        <w:tc>
          <w:tcPr>
            <w:tcW w:w="966" w:type="dxa"/>
            <w:vAlign w:val="center"/>
          </w:tcPr>
          <w:p w14:paraId="12EF7435">
            <w:pPr>
              <w:pageBreakBefore w:val="0"/>
              <w:widowControl/>
              <w:kinsoku/>
              <w:wordWrap/>
              <w:overflowPunct/>
              <w:topLinePunct w:val="0"/>
              <w:bidi w:val="0"/>
              <w:adjustRightInd/>
              <w:snapToGrid/>
              <w:spacing w:line="560" w:lineRule="exact"/>
              <w:ind w:firstLine="0" w:firstLineChars="0"/>
              <w:jc w:val="center"/>
              <w:textAlignment w:val="auto"/>
              <w:rPr>
                <w:rFonts w:hint="default" w:ascii="宋体" w:hAnsi="宋体" w:eastAsia="宋体" w:cs="宋体"/>
                <w:bCs/>
                <w:sz w:val="28"/>
                <w:szCs w:val="28"/>
                <w:highlight w:val="yellow"/>
                <w:lang w:val="en-US" w:eastAsia="zh-CN"/>
              </w:rPr>
            </w:pPr>
            <w:r>
              <w:rPr>
                <w:rFonts w:hint="eastAsia" w:ascii="宋体" w:hAnsi="宋体" w:eastAsia="宋体" w:cs="宋体"/>
                <w:bCs/>
                <w:sz w:val="28"/>
                <w:szCs w:val="28"/>
                <w:highlight w:val="none"/>
                <w:lang w:val="en-US" w:eastAsia="zh-CN"/>
              </w:rPr>
              <w:t>10</w:t>
            </w:r>
          </w:p>
        </w:tc>
        <w:tc>
          <w:tcPr>
            <w:tcW w:w="5080" w:type="dxa"/>
            <w:vAlign w:val="center"/>
          </w:tcPr>
          <w:p w14:paraId="3EE11A61">
            <w:pPr>
              <w:pageBreakBefore w:val="0"/>
              <w:kinsoku/>
              <w:wordWrap/>
              <w:overflowPunct/>
              <w:topLinePunct w:val="0"/>
              <w:bidi w:val="0"/>
              <w:adjustRightInd/>
              <w:snapToGrid/>
              <w:spacing w:line="560" w:lineRule="exact"/>
              <w:textAlignment w:val="auto"/>
              <w:rPr>
                <w:rFonts w:hint="eastAsia" w:ascii="Calibri" w:hAnsi="Calibri" w:eastAsia="宋体"/>
                <w:sz w:val="28"/>
                <w:szCs w:val="28"/>
                <w:highlight w:val="none"/>
              </w:rPr>
            </w:pPr>
            <w:r>
              <w:rPr>
                <w:rFonts w:hint="eastAsia" w:ascii="Calibri" w:hAnsi="Calibri" w:eastAsia="宋体"/>
                <w:sz w:val="28"/>
                <w:szCs w:val="28"/>
                <w:highlight w:val="none"/>
              </w:rPr>
              <w:t>1</w:t>
            </w:r>
            <w:r>
              <w:rPr>
                <w:rFonts w:hint="eastAsia" w:ascii="Calibri" w:hAnsi="Calibri" w:eastAsia="宋体"/>
                <w:sz w:val="28"/>
                <w:szCs w:val="28"/>
                <w:highlight w:val="none"/>
                <w:lang w:eastAsia="zh-CN"/>
              </w:rPr>
              <w:t>.</w:t>
            </w:r>
            <w:r>
              <w:rPr>
                <w:rFonts w:hint="eastAsia" w:ascii="Calibri" w:hAnsi="Calibri" w:eastAsia="宋体"/>
                <w:sz w:val="28"/>
                <w:szCs w:val="28"/>
                <w:highlight w:val="none"/>
              </w:rPr>
              <w:t>供应商承诺在服务期内接到采购人维修电话时0.5小时内响应，1小时内派维修工程师到达现场的得</w:t>
            </w:r>
            <w:r>
              <w:rPr>
                <w:rFonts w:hint="eastAsia" w:ascii="Calibri" w:hAnsi="Calibri" w:eastAsia="宋体"/>
                <w:sz w:val="28"/>
                <w:szCs w:val="28"/>
                <w:highlight w:val="none"/>
                <w:lang w:val="en-US" w:eastAsia="zh-CN"/>
              </w:rPr>
              <w:t>10</w:t>
            </w:r>
            <w:r>
              <w:rPr>
                <w:rFonts w:hint="eastAsia" w:ascii="Calibri" w:hAnsi="Calibri" w:eastAsia="宋体"/>
                <w:sz w:val="28"/>
                <w:szCs w:val="28"/>
                <w:highlight w:val="none"/>
              </w:rPr>
              <w:t>分；</w:t>
            </w:r>
          </w:p>
          <w:p w14:paraId="6A366FD0">
            <w:pPr>
              <w:pageBreakBefore w:val="0"/>
              <w:kinsoku/>
              <w:wordWrap/>
              <w:overflowPunct/>
              <w:topLinePunct w:val="0"/>
              <w:bidi w:val="0"/>
              <w:adjustRightInd/>
              <w:snapToGrid/>
              <w:spacing w:line="560" w:lineRule="exact"/>
              <w:textAlignment w:val="auto"/>
              <w:rPr>
                <w:rFonts w:hint="eastAsia" w:ascii="Calibri" w:hAnsi="Calibri" w:eastAsia="宋体"/>
                <w:sz w:val="28"/>
                <w:szCs w:val="28"/>
                <w:highlight w:val="none"/>
              </w:rPr>
            </w:pPr>
            <w:r>
              <w:rPr>
                <w:rFonts w:hint="eastAsia" w:ascii="Calibri" w:hAnsi="Calibri" w:eastAsia="宋体"/>
                <w:sz w:val="28"/>
                <w:szCs w:val="28"/>
                <w:highlight w:val="none"/>
              </w:rPr>
              <w:t>2</w:t>
            </w:r>
            <w:r>
              <w:rPr>
                <w:rFonts w:hint="eastAsia" w:ascii="Calibri" w:hAnsi="Calibri" w:eastAsia="宋体"/>
                <w:sz w:val="28"/>
                <w:szCs w:val="28"/>
                <w:highlight w:val="none"/>
                <w:lang w:eastAsia="zh-CN"/>
              </w:rPr>
              <w:t>.</w:t>
            </w:r>
            <w:r>
              <w:rPr>
                <w:rFonts w:hint="eastAsia" w:ascii="Calibri" w:hAnsi="Calibri" w:eastAsia="宋体"/>
                <w:sz w:val="28"/>
                <w:szCs w:val="28"/>
                <w:highlight w:val="none"/>
              </w:rPr>
              <w:t>供应商承诺在服务期内接到采购人维修电话时1小时内响应，1.5小时内派维修工程师到达现场的得</w:t>
            </w:r>
            <w:r>
              <w:rPr>
                <w:rFonts w:hint="eastAsia" w:ascii="Calibri" w:hAnsi="Calibri" w:eastAsia="宋体"/>
                <w:sz w:val="28"/>
                <w:szCs w:val="28"/>
                <w:highlight w:val="none"/>
                <w:lang w:val="en-US" w:eastAsia="zh-CN"/>
              </w:rPr>
              <w:t>5</w:t>
            </w:r>
            <w:r>
              <w:rPr>
                <w:rFonts w:hint="eastAsia" w:ascii="Calibri" w:hAnsi="Calibri" w:eastAsia="宋体"/>
                <w:sz w:val="28"/>
                <w:szCs w:val="28"/>
                <w:highlight w:val="none"/>
              </w:rPr>
              <w:t>分；</w:t>
            </w:r>
          </w:p>
          <w:p w14:paraId="1B96F0CE">
            <w:pPr>
              <w:pageBreakBefore w:val="0"/>
              <w:kinsoku/>
              <w:wordWrap/>
              <w:overflowPunct/>
              <w:topLinePunct w:val="0"/>
              <w:bidi w:val="0"/>
              <w:adjustRightInd/>
              <w:snapToGrid/>
              <w:spacing w:line="560" w:lineRule="exact"/>
              <w:textAlignment w:val="auto"/>
              <w:rPr>
                <w:rFonts w:hint="eastAsia" w:ascii="Calibri" w:hAnsi="Calibri" w:eastAsia="宋体"/>
                <w:sz w:val="28"/>
                <w:szCs w:val="28"/>
                <w:highlight w:val="none"/>
              </w:rPr>
            </w:pPr>
            <w:r>
              <w:rPr>
                <w:rFonts w:hint="eastAsia" w:ascii="Calibri" w:hAnsi="Calibri" w:eastAsia="宋体"/>
                <w:sz w:val="28"/>
                <w:szCs w:val="28"/>
                <w:highlight w:val="none"/>
              </w:rPr>
              <w:t>3</w:t>
            </w:r>
            <w:r>
              <w:rPr>
                <w:rFonts w:hint="eastAsia" w:ascii="Calibri" w:hAnsi="Calibri" w:eastAsia="宋体"/>
                <w:sz w:val="28"/>
                <w:szCs w:val="28"/>
                <w:highlight w:val="none"/>
                <w:lang w:eastAsia="zh-CN"/>
              </w:rPr>
              <w:t>.</w:t>
            </w:r>
            <w:r>
              <w:rPr>
                <w:rFonts w:hint="eastAsia" w:ascii="Calibri" w:hAnsi="Calibri" w:eastAsia="宋体"/>
                <w:sz w:val="28"/>
                <w:szCs w:val="28"/>
                <w:highlight w:val="none"/>
              </w:rPr>
              <w:t>供应商承诺在服务期内接到采购人维修电话时1.5小时内响应，1.5小时内派维修工程师到达现场的得1分；</w:t>
            </w:r>
          </w:p>
          <w:p w14:paraId="5262F394">
            <w:pPr>
              <w:pageBreakBefore w:val="0"/>
              <w:kinsoku/>
              <w:wordWrap/>
              <w:overflowPunct/>
              <w:topLinePunct w:val="0"/>
              <w:bidi w:val="0"/>
              <w:adjustRightInd/>
              <w:snapToGrid/>
              <w:spacing w:line="560" w:lineRule="exact"/>
              <w:textAlignment w:val="auto"/>
              <w:rPr>
                <w:rFonts w:hint="default" w:ascii="宋体" w:hAnsi="宋体" w:eastAsia="宋体" w:cs="宋体"/>
                <w:bCs/>
                <w:sz w:val="28"/>
                <w:szCs w:val="28"/>
                <w:highlight w:val="none"/>
                <w:lang w:val="en-US" w:eastAsia="zh-CN"/>
              </w:rPr>
            </w:pPr>
            <w:r>
              <w:rPr>
                <w:rFonts w:hint="eastAsia" w:ascii="Calibri" w:hAnsi="Calibri" w:eastAsia="宋体"/>
                <w:sz w:val="28"/>
                <w:szCs w:val="28"/>
                <w:highlight w:val="none"/>
              </w:rPr>
              <w:t>4</w:t>
            </w:r>
            <w:r>
              <w:rPr>
                <w:rFonts w:hint="eastAsia" w:ascii="Calibri" w:hAnsi="Calibri" w:eastAsia="宋体"/>
                <w:sz w:val="28"/>
                <w:szCs w:val="28"/>
                <w:highlight w:val="none"/>
                <w:lang w:eastAsia="zh-CN"/>
              </w:rPr>
              <w:t>.</w:t>
            </w:r>
            <w:r>
              <w:rPr>
                <w:rFonts w:hint="eastAsia" w:ascii="Calibri" w:hAnsi="Calibri" w:eastAsia="宋体"/>
                <w:sz w:val="28"/>
                <w:szCs w:val="28"/>
                <w:highlight w:val="none"/>
              </w:rPr>
              <w:t>供应商承诺在服务期内接到采购人维修电话时2小时内响应，2小时内派维修工程师到达现场的得0分。</w:t>
            </w:r>
          </w:p>
        </w:tc>
      </w:tr>
    </w:tbl>
    <w:p w14:paraId="4B701822">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2C0BC5DB">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1FB6E6D3">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63FF8222">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09577867">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3C1D7B3D">
      <w:pPr>
        <w:pageBreakBefore w:val="0"/>
        <w:widowControl/>
        <w:kinsoku/>
        <w:wordWrap/>
        <w:overflowPunct/>
        <w:topLinePunct w:val="0"/>
        <w:bidi w:val="0"/>
        <w:adjustRightInd/>
        <w:snapToGrid/>
        <w:spacing w:line="560" w:lineRule="exact"/>
        <w:ind w:firstLine="480"/>
        <w:textAlignment w:val="auto"/>
        <w:rPr>
          <w:rFonts w:asciiTheme="minorEastAsia" w:hAnsiTheme="minorEastAsia" w:eastAsiaTheme="minorEastAsia" w:cstheme="minorEastAsia"/>
          <w:highlight w:val="none"/>
        </w:rPr>
      </w:pPr>
    </w:p>
    <w:p w14:paraId="5AA4D724">
      <w:pPr>
        <w:pStyle w:val="2"/>
        <w:jc w:val="both"/>
        <w:rPr>
          <w:rFonts w:hint="eastAsia"/>
          <w:sz w:val="30"/>
          <w:szCs w:val="30"/>
          <w:lang w:val="en-US" w:eastAsia="zh-CN"/>
        </w:rPr>
      </w:pPr>
    </w:p>
    <w:p w14:paraId="62B1B569">
      <w:pPr>
        <w:pStyle w:val="2"/>
        <w:jc w:val="both"/>
        <w:rPr>
          <w:rFonts w:hint="eastAsia"/>
          <w:sz w:val="30"/>
          <w:szCs w:val="30"/>
          <w:lang w:val="en-US" w:eastAsia="zh-CN"/>
        </w:rPr>
      </w:pPr>
    </w:p>
    <w:p w14:paraId="393AD55A">
      <w:pPr>
        <w:pStyle w:val="2"/>
        <w:jc w:val="both"/>
        <w:rPr>
          <w:rFonts w:hint="eastAsia"/>
          <w:sz w:val="30"/>
          <w:szCs w:val="30"/>
          <w:lang w:val="en-US" w:eastAsia="zh-CN"/>
        </w:rPr>
      </w:pPr>
    </w:p>
    <w:p w14:paraId="64E08DB9">
      <w:pPr>
        <w:pStyle w:val="2"/>
        <w:jc w:val="both"/>
        <w:rPr>
          <w:rFonts w:hint="eastAsia"/>
          <w:sz w:val="30"/>
          <w:szCs w:val="30"/>
          <w:lang w:val="en-US" w:eastAsia="zh-CN"/>
        </w:rPr>
      </w:pPr>
    </w:p>
    <w:p w14:paraId="7B458C37">
      <w:pPr>
        <w:pStyle w:val="2"/>
        <w:jc w:val="center"/>
        <w:rPr>
          <w:rFonts w:hint="eastAsia"/>
          <w:sz w:val="30"/>
          <w:szCs w:val="30"/>
          <w:lang w:val="en-US" w:eastAsia="zh-CN"/>
        </w:rPr>
      </w:pPr>
    </w:p>
    <w:p w14:paraId="13E12580">
      <w:pPr>
        <w:pStyle w:val="2"/>
        <w:jc w:val="center"/>
        <w:rPr>
          <w:rFonts w:hint="eastAsia"/>
          <w:sz w:val="30"/>
          <w:szCs w:val="30"/>
          <w:lang w:val="en-US" w:eastAsia="zh-CN"/>
        </w:rPr>
      </w:pPr>
      <w:r>
        <w:rPr>
          <w:rFonts w:hint="eastAsia"/>
          <w:sz w:val="30"/>
          <w:szCs w:val="30"/>
          <w:lang w:val="en-US" w:eastAsia="zh-CN"/>
        </w:rPr>
        <w:t>配件明细一览表</w:t>
      </w:r>
    </w:p>
    <w:tbl>
      <w:tblPr>
        <w:tblStyle w:val="5"/>
        <w:tblpPr w:leftFromText="180" w:rightFromText="180" w:vertAnchor="text" w:horzAnchor="page" w:tblpX="2574" w:tblpY="388"/>
        <w:tblOverlap w:val="never"/>
        <w:tblW w:w="7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689"/>
        <w:gridCol w:w="2798"/>
        <w:gridCol w:w="1054"/>
        <w:gridCol w:w="1229"/>
      </w:tblGrid>
      <w:tr w14:paraId="5CB0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19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6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位置</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29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内机型号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C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0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76F3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910室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3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AC0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6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B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A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PEFY-P63VMA-E-S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08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EC5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99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A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812、806室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B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6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940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A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1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C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PEFY-P80VMA-E-S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0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E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F28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B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0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712室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7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7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61B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D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4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705室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6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PEFY-P63VMA-E-S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5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328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8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502室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C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3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B76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6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B2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PEFY-P63VMA-E-S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5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9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ED5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2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9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4楼会议室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7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PEFY-P63VMA-E-S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0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4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796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5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89" w:type="dxa"/>
            <w:vMerge w:val="restart"/>
            <w:tcBorders>
              <w:top w:val="nil"/>
              <w:left w:val="single" w:color="000000" w:sz="4" w:space="0"/>
              <w:bottom w:val="single" w:color="000000" w:sz="4" w:space="0"/>
              <w:right w:val="single" w:color="000000" w:sz="4" w:space="0"/>
            </w:tcBorders>
            <w:shd w:val="clear" w:color="auto" w:fill="auto"/>
            <w:noWrap/>
            <w:vAlign w:val="center"/>
          </w:tcPr>
          <w:p w14:paraId="29176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3楼研讨室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A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PEFY-P32VBM-E-S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0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4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485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3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9"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EF8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D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PEFY-P71VMA-E-S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D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A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0245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C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C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馆长室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A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F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5F9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B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B区后面</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B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4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1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6BA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8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哲学宗教室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B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E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F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AE7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9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C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3-39/3-27室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2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2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B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5988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3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4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3-36/3-37室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4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6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C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F48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8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3-45/3-46室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9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B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2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4AE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A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F299(经济）</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3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B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4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71F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6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7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2-36/2-35/2-12室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6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PEFY-P100VMA-E-S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3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B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4107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3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D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期刊阅览室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8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4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9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D8C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1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09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一楼图书馆</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9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D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7A8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5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C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配电房第二间</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C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F5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1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5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美术馆</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B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PEFY-P125VMA-E-S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B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E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98A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C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D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602室</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4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PEFY-P50VMA-E-S</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0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3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948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D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B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PUHU-P300YPKC-A</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4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2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EAC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8C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9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PUHU-P400YPKC-A</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1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bl>
    <w:p w14:paraId="60FB6BBC">
      <w:pPr>
        <w:numPr>
          <w:ilvl w:val="0"/>
          <w:numId w:val="0"/>
        </w:numPr>
        <w:rPr>
          <w:rFonts w:hint="default"/>
          <w:sz w:val="30"/>
          <w:szCs w:val="30"/>
          <w:lang w:val="en-US" w:eastAsia="zh-CN"/>
        </w:rPr>
      </w:pPr>
    </w:p>
    <w:p w14:paraId="03EAEB57">
      <w:pPr>
        <w:rPr>
          <w:rFonts w:hint="default"/>
          <w:lang w:val="en-US" w:eastAsia="zh-CN"/>
        </w:rPr>
      </w:pPr>
    </w:p>
    <w:p w14:paraId="172C132E">
      <w:pPr>
        <w:numPr>
          <w:ilvl w:val="0"/>
          <w:numId w:val="0"/>
        </w:numPr>
        <w:rPr>
          <w:rFonts w:hint="default"/>
          <w:sz w:val="30"/>
          <w:szCs w:val="30"/>
          <w:lang w:val="en-US" w:eastAsia="zh-CN"/>
        </w:rPr>
      </w:pPr>
    </w:p>
    <w:p w14:paraId="7D13F618">
      <w:pPr>
        <w:numPr>
          <w:ilvl w:val="0"/>
          <w:numId w:val="0"/>
        </w:numPr>
        <w:rPr>
          <w:rFonts w:hint="default"/>
          <w:sz w:val="30"/>
          <w:szCs w:val="30"/>
          <w:lang w:val="en-US" w:eastAsia="zh-CN"/>
        </w:rPr>
      </w:pPr>
    </w:p>
    <w:p w14:paraId="749C5C66">
      <w:pPr>
        <w:numPr>
          <w:ilvl w:val="0"/>
          <w:numId w:val="0"/>
        </w:numPr>
        <w:rPr>
          <w:rFonts w:hint="default"/>
          <w:sz w:val="30"/>
          <w:szCs w:val="30"/>
          <w:lang w:val="en-US" w:eastAsia="zh-CN"/>
        </w:rPr>
      </w:pPr>
    </w:p>
    <w:p w14:paraId="1D132395">
      <w:pPr>
        <w:numPr>
          <w:ilvl w:val="0"/>
          <w:numId w:val="0"/>
        </w:numPr>
        <w:rPr>
          <w:rFonts w:hint="default"/>
          <w:sz w:val="30"/>
          <w:szCs w:val="30"/>
          <w:lang w:val="en-US" w:eastAsia="zh-CN"/>
        </w:rPr>
      </w:pPr>
    </w:p>
    <w:p w14:paraId="2B005465">
      <w:pPr>
        <w:numPr>
          <w:ilvl w:val="0"/>
          <w:numId w:val="0"/>
        </w:numPr>
        <w:rPr>
          <w:rFonts w:hint="default"/>
          <w:sz w:val="30"/>
          <w:szCs w:val="30"/>
          <w:lang w:val="en-US" w:eastAsia="zh-CN"/>
        </w:rPr>
      </w:pPr>
    </w:p>
    <w:p w14:paraId="0023E575">
      <w:pPr>
        <w:numPr>
          <w:ilvl w:val="0"/>
          <w:numId w:val="0"/>
        </w:numPr>
        <w:rPr>
          <w:rFonts w:hint="default"/>
          <w:sz w:val="30"/>
          <w:szCs w:val="30"/>
          <w:lang w:val="en-US" w:eastAsia="zh-CN"/>
        </w:rPr>
      </w:pPr>
    </w:p>
    <w:p w14:paraId="305F6324">
      <w:pPr>
        <w:numPr>
          <w:ilvl w:val="0"/>
          <w:numId w:val="0"/>
        </w:numPr>
        <w:rPr>
          <w:rFonts w:hint="default"/>
          <w:sz w:val="30"/>
          <w:szCs w:val="30"/>
          <w:lang w:val="en-US" w:eastAsia="zh-CN"/>
        </w:rPr>
      </w:pPr>
    </w:p>
    <w:p w14:paraId="4028A96F">
      <w:pPr>
        <w:numPr>
          <w:ilvl w:val="0"/>
          <w:numId w:val="0"/>
        </w:numPr>
        <w:rPr>
          <w:rFonts w:hint="default"/>
          <w:sz w:val="30"/>
          <w:szCs w:val="30"/>
          <w:lang w:val="en-US" w:eastAsia="zh-CN"/>
        </w:rPr>
      </w:pPr>
      <w:r>
        <w:rPr>
          <w:rFonts w:hint="default"/>
          <w:sz w:val="30"/>
          <w:szCs w:val="30"/>
          <w:lang w:val="en-US" w:eastAsia="zh-CN"/>
        </w:rPr>
        <w:t xml:space="preserve"> </w:t>
      </w:r>
    </w:p>
    <w:p w14:paraId="1B281388">
      <w:pPr>
        <w:numPr>
          <w:ilvl w:val="0"/>
          <w:numId w:val="0"/>
        </w:numPr>
        <w:rPr>
          <w:rFonts w:hint="default"/>
          <w:sz w:val="30"/>
          <w:szCs w:val="30"/>
          <w:lang w:val="en-US" w:eastAsia="zh-CN"/>
        </w:rPr>
      </w:pPr>
    </w:p>
    <w:p w14:paraId="5D81451C">
      <w:pPr>
        <w:numPr>
          <w:ilvl w:val="0"/>
          <w:numId w:val="0"/>
        </w:numPr>
        <w:rPr>
          <w:rFonts w:hint="default"/>
          <w:sz w:val="30"/>
          <w:szCs w:val="30"/>
          <w:lang w:val="en-US" w:eastAsia="zh-CN"/>
        </w:rPr>
      </w:pPr>
    </w:p>
    <w:p w14:paraId="44CB2F53">
      <w:pPr>
        <w:numPr>
          <w:ilvl w:val="0"/>
          <w:numId w:val="0"/>
        </w:numPr>
        <w:rPr>
          <w:rFonts w:hint="default"/>
          <w:sz w:val="30"/>
          <w:szCs w:val="30"/>
          <w:lang w:val="en-US" w:eastAsia="zh-CN"/>
        </w:rPr>
      </w:pPr>
    </w:p>
    <w:p w14:paraId="05D58A86">
      <w:pPr>
        <w:numPr>
          <w:ilvl w:val="0"/>
          <w:numId w:val="0"/>
        </w:numPr>
        <w:rPr>
          <w:rFonts w:hint="default"/>
          <w:sz w:val="30"/>
          <w:szCs w:val="30"/>
          <w:lang w:val="en-US" w:eastAsia="zh-CN"/>
        </w:rPr>
      </w:pPr>
    </w:p>
    <w:p w14:paraId="25624ABC">
      <w:pPr>
        <w:numPr>
          <w:ilvl w:val="0"/>
          <w:numId w:val="0"/>
        </w:numPr>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217F4"/>
    <w:multiLevelType w:val="singleLevel"/>
    <w:tmpl w:val="B5E217F4"/>
    <w:lvl w:ilvl="0" w:tentative="0">
      <w:start w:val="1"/>
      <w:numFmt w:val="decimal"/>
      <w:suff w:val="nothing"/>
      <w:lvlText w:val="%1、"/>
      <w:lvlJc w:val="left"/>
    </w:lvl>
  </w:abstractNum>
  <w:abstractNum w:abstractNumId="1">
    <w:nsid w:val="C590BF71"/>
    <w:multiLevelType w:val="singleLevel"/>
    <w:tmpl w:val="C590BF71"/>
    <w:lvl w:ilvl="0" w:tentative="0">
      <w:start w:val="1"/>
      <w:numFmt w:val="chineseCounting"/>
      <w:suff w:val="nothing"/>
      <w:lvlText w:val="%1、"/>
      <w:lvlJc w:val="left"/>
      <w:rPr>
        <w:rFonts w:hint="eastAsia"/>
      </w:rPr>
    </w:lvl>
  </w:abstractNum>
  <w:abstractNum w:abstractNumId="2">
    <w:nsid w:val="CE4AE0E9"/>
    <w:multiLevelType w:val="singleLevel"/>
    <w:tmpl w:val="CE4AE0E9"/>
    <w:lvl w:ilvl="0" w:tentative="0">
      <w:start w:val="1"/>
      <w:numFmt w:val="decimal"/>
      <w:suff w:val="nothing"/>
      <w:lvlText w:val="%1、"/>
      <w:lvlJc w:val="left"/>
      <w:pPr>
        <w:ind w:left="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DYyNDIwNjBjMmJhYWM4ZmVlNWExNDllNjk3ODYifQ=="/>
  </w:docVars>
  <w:rsids>
    <w:rsidRoot w:val="70183DA8"/>
    <w:rsid w:val="00D72D2D"/>
    <w:rsid w:val="010C0502"/>
    <w:rsid w:val="030B2A3C"/>
    <w:rsid w:val="03276FA3"/>
    <w:rsid w:val="04096F7B"/>
    <w:rsid w:val="0A5B2FEB"/>
    <w:rsid w:val="0B9A2BAF"/>
    <w:rsid w:val="0D532C44"/>
    <w:rsid w:val="0D8C35F6"/>
    <w:rsid w:val="106F0166"/>
    <w:rsid w:val="111C6064"/>
    <w:rsid w:val="121A73FA"/>
    <w:rsid w:val="12DF679F"/>
    <w:rsid w:val="13632714"/>
    <w:rsid w:val="152E72E5"/>
    <w:rsid w:val="17A96653"/>
    <w:rsid w:val="18A26C8A"/>
    <w:rsid w:val="1F11695D"/>
    <w:rsid w:val="20F712CE"/>
    <w:rsid w:val="22BB36DF"/>
    <w:rsid w:val="26E005C0"/>
    <w:rsid w:val="27036CBB"/>
    <w:rsid w:val="2E8C2223"/>
    <w:rsid w:val="316B4522"/>
    <w:rsid w:val="392A5BA3"/>
    <w:rsid w:val="410B117F"/>
    <w:rsid w:val="429A7099"/>
    <w:rsid w:val="43030902"/>
    <w:rsid w:val="46916381"/>
    <w:rsid w:val="48405867"/>
    <w:rsid w:val="4E9C50B5"/>
    <w:rsid w:val="51020145"/>
    <w:rsid w:val="5F08322C"/>
    <w:rsid w:val="635F3C96"/>
    <w:rsid w:val="66D63C10"/>
    <w:rsid w:val="6A507835"/>
    <w:rsid w:val="6F563B40"/>
    <w:rsid w:val="70183DA8"/>
    <w:rsid w:val="7B533629"/>
    <w:rsid w:val="7D411404"/>
    <w:rsid w:val="7DF6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rFonts w:ascii="Times New Roman" w:hAnsi="Times New Roman" w:eastAsia="宋体" w:cs="Times New Roman"/>
      <w:kern w:val="2"/>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22"/>
    <w:rPr>
      <w:rFonts w:eastAsia="黑体"/>
      <w:bCs/>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1985</Words>
  <Characters>2508</Characters>
  <Lines>0</Lines>
  <Paragraphs>0</Paragraphs>
  <TotalTime>6</TotalTime>
  <ScaleCrop>false</ScaleCrop>
  <LinksUpToDate>false</LinksUpToDate>
  <CharactersWithSpaces>2511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2024-11-09T08:35:00Z</dcterms:created>
  <dc:creator>籽林</dc:creator>
  <cp:lastModifiedBy>A.少林</cp:lastModifiedBy>
  <cp:lastPrinted>2024-11-09T10:15:00Z</cp:lastPrinted>
  <dcterms:modified xsi:type="dcterms:W3CDTF">2024-11-19T02:21:05Z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34A959BA971E467EB3A05E27716F3A64_13</vt:lpwstr>
  </property>
</Properties>
</file>